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E8" w:rsidRDefault="00CE1691">
      <w:pPr>
        <w:spacing w:before="156"/>
        <w:ind w:firstLine="723"/>
        <w:jc w:val="center"/>
        <w:outlineLvl w:val="0"/>
        <w:rPr>
          <w:rFonts w:ascii="Times New Roman"/>
          <w:b/>
          <w:color w:val="000000"/>
          <w:sz w:val="36"/>
          <w:szCs w:val="36"/>
        </w:rPr>
      </w:pPr>
      <w:r>
        <w:rPr>
          <w:rFonts w:ascii="Times New Roman"/>
          <w:b/>
          <w:color w:val="000000"/>
          <w:sz w:val="36"/>
          <w:szCs w:val="36"/>
        </w:rPr>
        <w:t>中央监护系统</w:t>
      </w:r>
      <w:r w:rsidR="003B16ED">
        <w:rPr>
          <w:rFonts w:ascii="Times New Roman" w:hint="eastAsia"/>
          <w:b/>
          <w:color w:val="000000"/>
          <w:sz w:val="36"/>
          <w:szCs w:val="36"/>
        </w:rPr>
        <w:t>-</w:t>
      </w:r>
      <w:r w:rsidR="003B16ED">
        <w:rPr>
          <w:rFonts w:ascii="Times New Roman" w:hint="eastAsia"/>
          <w:b/>
          <w:color w:val="000000"/>
          <w:sz w:val="36"/>
          <w:szCs w:val="36"/>
        </w:rPr>
        <w:t>公共</w:t>
      </w:r>
      <w:r>
        <w:rPr>
          <w:rFonts w:ascii="Times New Roman"/>
          <w:b/>
          <w:color w:val="000000"/>
          <w:sz w:val="36"/>
          <w:szCs w:val="36"/>
        </w:rPr>
        <w:t>参数</w:t>
      </w:r>
    </w:p>
    <w:p w:rsidR="00C162E8" w:rsidRDefault="00CE1691" w:rsidP="00DB4430">
      <w:pPr>
        <w:spacing w:before="156"/>
        <w:ind w:firstLine="422"/>
        <w:jc w:val="left"/>
        <w:outlineLvl w:val="0"/>
        <w:rPr>
          <w:rFonts w:ascii="Times New Roman"/>
          <w:b/>
          <w:color w:val="000000"/>
          <w:szCs w:val="21"/>
        </w:rPr>
      </w:pPr>
      <w:r>
        <w:rPr>
          <w:rFonts w:ascii="Times New Roman" w:hint="eastAsia"/>
          <w:b/>
          <w:color w:val="000000"/>
          <w:szCs w:val="21"/>
        </w:rPr>
        <w:t>中央监护系统软件参数：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支持有线/无线接入大于120台床边机和32个客户端；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b/>
          <w:szCs w:val="21"/>
        </w:rPr>
      </w:pPr>
      <w:r>
        <w:rPr>
          <w:rFonts w:hint="eastAsia"/>
          <w:szCs w:val="21"/>
        </w:rPr>
        <w:t>支持国内主流</w:t>
      </w:r>
      <w:r>
        <w:rPr>
          <w:rFonts w:hint="eastAsia"/>
          <w:szCs w:val="21"/>
        </w:rPr>
        <w:t>KREBS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Fischer</w:t>
      </w:r>
      <w:r>
        <w:rPr>
          <w:rFonts w:hint="eastAsia"/>
          <w:szCs w:val="21"/>
        </w:rPr>
        <w:t>、改良</w:t>
      </w:r>
      <w:r>
        <w:rPr>
          <w:rFonts w:hint="eastAsia"/>
          <w:szCs w:val="21"/>
        </w:rPr>
        <w:t>Fischer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NST</w:t>
      </w:r>
      <w:r>
        <w:rPr>
          <w:rFonts w:hint="eastAsia"/>
          <w:szCs w:val="21"/>
        </w:rPr>
        <w:t>四种评分标准；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  <w:szCs w:val="21"/>
        </w:rPr>
        <w:t>配置产时（</w:t>
      </w:r>
      <w:r>
        <w:rPr>
          <w:rFonts w:hint="eastAsia"/>
          <w:szCs w:val="21"/>
        </w:rPr>
        <w:t>NICHD</w:t>
      </w:r>
      <w:r>
        <w:rPr>
          <w:rFonts w:hint="eastAsia"/>
          <w:szCs w:val="21"/>
        </w:rPr>
        <w:t>）胎心监护三类图形评估标准和报告系统，系统支持自动分析并提供临床处置建议。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全产程、实时、多床位显示和记录床边监护仪的数字和曲线，自动判断有效监护数据进行智能显示和报警，床边工作状态、信号质量、监护信息等，一目了然；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胎监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母胎监护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母亲监护三种监护版面，根据床边机监护数据，自适应界面更改，适合产前监护、产时监护、产后监护不同需要；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SOV</w:t>
      </w:r>
      <w:r>
        <w:rPr>
          <w:rFonts w:hint="eastAsia"/>
          <w:szCs w:val="21"/>
        </w:rPr>
        <w:t>（信号重合）报警功能，母亲和胎儿心率重合报警，双胎信号重合报警；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可根据医院需求在界面中定制化管理操作按键，可增加、删除快捷操作按键，可优先常用快捷操作功能；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</w:rPr>
        <w:t>具有强大的数据库，海量存储，全程</w:t>
      </w:r>
      <w:r>
        <w:rPr>
          <w:rFonts w:hint="eastAsia"/>
        </w:rPr>
        <w:t>CTG</w:t>
      </w:r>
      <w:r>
        <w:rPr>
          <w:rFonts w:hint="eastAsia"/>
        </w:rPr>
        <w:t>浏览，便于快速了解整体监护情况，贮存全产程所有数据，提供完整的分娩记录，并可选段分析、打印；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可回放</w:t>
      </w:r>
      <w:r>
        <w:rPr>
          <w:rFonts w:hint="eastAsia"/>
          <w:szCs w:val="21"/>
        </w:rPr>
        <w:t>CTG</w:t>
      </w:r>
      <w:r>
        <w:rPr>
          <w:rFonts w:hint="eastAsia"/>
          <w:szCs w:val="21"/>
        </w:rPr>
        <w:t>和母亲生命体征趋势，无创血压列表；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符合国际标准的三级声光处理系统，母亲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胎儿参数报警，报警界限根据需要可调节；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能打印多种报告，包括支持国内主流</w:t>
      </w:r>
      <w:r>
        <w:rPr>
          <w:rFonts w:hint="eastAsia"/>
          <w:szCs w:val="21"/>
        </w:rPr>
        <w:t>KREBS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Fischer</w:t>
      </w:r>
      <w:r>
        <w:rPr>
          <w:rFonts w:hint="eastAsia"/>
          <w:szCs w:val="21"/>
        </w:rPr>
        <w:t>、改良</w:t>
      </w:r>
      <w:r>
        <w:rPr>
          <w:rFonts w:hint="eastAsia"/>
          <w:szCs w:val="21"/>
        </w:rPr>
        <w:t>Fischer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NST</w:t>
      </w:r>
      <w:r>
        <w:rPr>
          <w:rFonts w:hint="eastAsia"/>
          <w:szCs w:val="21"/>
        </w:rPr>
        <w:t>四种评分报告，三类图形评估报告和</w:t>
      </w:r>
      <w:r>
        <w:rPr>
          <w:rFonts w:hint="eastAsia"/>
          <w:szCs w:val="21"/>
        </w:rPr>
        <w:t>CTG</w:t>
      </w:r>
      <w:r>
        <w:rPr>
          <w:rFonts w:hint="eastAsia"/>
          <w:szCs w:val="21"/>
        </w:rPr>
        <w:t>报告等多种报告系统；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同步云服务上的远程监护数据，对监护数据进行管理，支持查询、添加分析意见，以及将分析信息上传至云。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  <w:szCs w:val="21"/>
        </w:rPr>
        <w:t>可升级接入新生儿血气分析仪，实现孕妇、新生儿脐血气数据的统一管理；</w:t>
      </w:r>
    </w:p>
    <w:p w:rsidR="00C162E8" w:rsidRDefault="00CE1691">
      <w:pPr>
        <w:pStyle w:val="a9"/>
        <w:numPr>
          <w:ilvl w:val="0"/>
          <w:numId w:val="1"/>
        </w:numPr>
        <w:tabs>
          <w:tab w:val="left" w:pos="0"/>
        </w:tabs>
        <w:spacing w:before="156"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支持断点续传，包括</w:t>
      </w:r>
      <w:r>
        <w:rPr>
          <w:szCs w:val="21"/>
        </w:rPr>
        <w:t>FHR</w:t>
      </w:r>
      <w:r>
        <w:rPr>
          <w:rFonts w:hint="eastAsia"/>
          <w:szCs w:val="21"/>
        </w:rPr>
        <w:t>、</w:t>
      </w:r>
      <w:r>
        <w:rPr>
          <w:szCs w:val="21"/>
        </w:rPr>
        <w:t>TOCO</w:t>
      </w:r>
      <w:r>
        <w:rPr>
          <w:rFonts w:hint="eastAsia"/>
          <w:szCs w:val="21"/>
        </w:rPr>
        <w:t>、</w:t>
      </w:r>
      <w:r>
        <w:rPr>
          <w:szCs w:val="21"/>
        </w:rPr>
        <w:t>MHR</w:t>
      </w:r>
      <w:r>
        <w:rPr>
          <w:rFonts w:hint="eastAsia"/>
          <w:szCs w:val="21"/>
        </w:rPr>
        <w:t>、</w:t>
      </w:r>
      <w:r>
        <w:rPr>
          <w:szCs w:val="21"/>
        </w:rPr>
        <w:t>AFM</w:t>
      </w:r>
      <w:r>
        <w:rPr>
          <w:rFonts w:hint="eastAsia"/>
          <w:szCs w:val="21"/>
        </w:rPr>
        <w:t>、</w:t>
      </w:r>
      <w:r>
        <w:rPr>
          <w:szCs w:val="21"/>
        </w:rPr>
        <w:t>SpO2</w:t>
      </w:r>
      <w:r>
        <w:rPr>
          <w:rFonts w:hint="eastAsia"/>
          <w:szCs w:val="21"/>
        </w:rPr>
        <w:t>和事件。</w:t>
      </w:r>
    </w:p>
    <w:p w:rsidR="00C162E8" w:rsidRDefault="00CE1691">
      <w:pPr>
        <w:pStyle w:val="a9"/>
        <w:tabs>
          <w:tab w:val="left" w:pos="0"/>
        </w:tabs>
        <w:spacing w:before="156" w:line="400" w:lineRule="exact"/>
        <w:ind w:firstLine="422"/>
        <w:rPr>
          <w:rFonts w:ascii="Times New Roman"/>
          <w:b/>
          <w:color w:val="000000"/>
          <w:szCs w:val="21"/>
        </w:rPr>
      </w:pPr>
      <w:r>
        <w:rPr>
          <w:rFonts w:ascii="Times New Roman" w:hint="eastAsia"/>
          <w:b/>
          <w:color w:val="000000"/>
          <w:szCs w:val="21"/>
        </w:rPr>
        <w:t>硬件参数：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hint="eastAsia"/>
        </w:rPr>
        <w:t>一体化无线胎监，监护参数：胎心率（</w:t>
      </w:r>
      <w:r>
        <w:t>FHR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FHR2</w:t>
      </w:r>
      <w:r>
        <w:rPr>
          <w:rFonts w:hint="eastAsia"/>
        </w:rPr>
        <w:t>），宫缩压力（</w:t>
      </w:r>
      <w:r>
        <w:rPr>
          <w:rFonts w:hint="eastAsia"/>
        </w:rPr>
        <w:t>TOCO</w:t>
      </w:r>
      <w:r>
        <w:rPr>
          <w:rFonts w:hint="eastAsia"/>
        </w:rPr>
        <w:t>），胎动（</w:t>
      </w:r>
      <w:r>
        <w:rPr>
          <w:rFonts w:hint="eastAsia"/>
        </w:rPr>
        <w:t>FM</w:t>
      </w:r>
      <w:r>
        <w:rPr>
          <w:rFonts w:hint="eastAsia"/>
        </w:rPr>
        <w:t>）；</w:t>
      </w:r>
    </w:p>
    <w:p w:rsidR="00C162E8" w:rsidRDefault="00CE1691" w:rsidP="00DB4430">
      <w:pPr>
        <w:numPr>
          <w:ilvl w:val="0"/>
          <w:numId w:val="1"/>
        </w:numPr>
        <w:spacing w:before="156" w:line="360" w:lineRule="exact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</w:rPr>
        <w:t>支持选配监测母亲参数，支持选配同品牌集成式无线母参模块；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▲</w:t>
      </w:r>
      <w:r>
        <w:t>支持</w:t>
      </w:r>
      <w:r>
        <w:rPr>
          <w:rFonts w:hint="eastAsia"/>
        </w:rPr>
        <w:t>T</w:t>
      </w:r>
      <w:r>
        <w:t>OCO</w:t>
      </w:r>
      <w:r>
        <w:t>探头</w:t>
      </w:r>
      <w:r>
        <w:rPr>
          <w:rFonts w:hint="eastAsia"/>
        </w:rPr>
        <w:t>（</w:t>
      </w:r>
      <w:r>
        <w:t>外接</w:t>
      </w:r>
      <w:r>
        <w:rPr>
          <w:rFonts w:hint="eastAsia"/>
        </w:rPr>
        <w:t>电极套）</w:t>
      </w:r>
      <w:r>
        <w:rPr>
          <w:rFonts w:hint="eastAsia"/>
          <w:szCs w:val="21"/>
        </w:rPr>
        <w:t>监测宫缩的同时监测母亲心率曲线，有效识别母亲心率信号干扰</w:t>
      </w:r>
      <w:r>
        <w:rPr>
          <w:rFonts w:hint="eastAsia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szCs w:val="21"/>
        </w:rPr>
        <w:t>支持</w:t>
      </w:r>
      <w:r>
        <w:rPr>
          <w:rFonts w:hint="eastAsia"/>
          <w:szCs w:val="21"/>
        </w:rPr>
        <w:t>胎心率与母亲心率信号重合报警功能</w:t>
      </w:r>
      <w:r>
        <w:rPr>
          <w:rFonts w:hint="eastAsia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t>支持</w:t>
      </w:r>
      <w:r>
        <w:rPr>
          <w:rFonts w:hint="eastAsia"/>
        </w:rPr>
        <w:t>升级三胎监测，支持多胎胎心率重合报警</w:t>
      </w:r>
      <w:r>
        <w:rPr>
          <w:rFonts w:hint="eastAsia"/>
        </w:rPr>
        <w:t>(SOV)</w:t>
      </w:r>
      <w:r>
        <w:rPr>
          <w:rFonts w:hint="eastAsia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hint="eastAsia"/>
        </w:rPr>
        <w:t>胎动：自动胎动检测，显示并打印胎儿活动图；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szCs w:val="21"/>
        </w:rPr>
        <w:t>支持无线充电</w:t>
      </w:r>
      <w:r>
        <w:rPr>
          <w:rFonts w:hint="eastAsia"/>
          <w:szCs w:val="21"/>
        </w:rPr>
        <w:t>，无线探头无充电触点，</w:t>
      </w:r>
      <w:r>
        <w:rPr>
          <w:rFonts w:hAnsi="宋体" w:hint="eastAsia"/>
          <w:kern w:val="24"/>
          <w:szCs w:val="21"/>
        </w:rPr>
        <w:t>不会因涂抹耦合剂污染充电触点导致充电不良问题，</w:t>
      </w:r>
      <w:r>
        <w:rPr>
          <w:rFonts w:ascii="宋体" w:hAnsi="宋体" w:cs="宋体" w:hint="eastAsia"/>
          <w:kern w:val="0"/>
          <w:szCs w:val="21"/>
        </w:rPr>
        <w:t>延长探头使用寿命，降低无线探头续航衰减</w:t>
      </w:r>
      <w:r>
        <w:rPr>
          <w:rFonts w:hint="eastAsia"/>
          <w:szCs w:val="21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  <w:szCs w:val="21"/>
        </w:rPr>
        <w:t>支持无线探头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min</w:t>
      </w:r>
      <w:r>
        <w:rPr>
          <w:rFonts w:hint="eastAsia"/>
          <w:szCs w:val="21"/>
        </w:rPr>
        <w:t>以上的断线续传；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hint="eastAsia"/>
          <w:szCs w:val="21"/>
        </w:rPr>
        <w:t>支持波形储存时长</w:t>
      </w:r>
      <w:r>
        <w:rPr>
          <w:rFonts w:ascii="Arial" w:hAnsi="Arial" w:cs="Arial"/>
          <w:szCs w:val="21"/>
        </w:rPr>
        <w:t>≥</w:t>
      </w:r>
      <w:r>
        <w:rPr>
          <w:rFonts w:hint="eastAsia"/>
          <w:szCs w:val="21"/>
        </w:rPr>
        <w:t>3000</w:t>
      </w:r>
      <w:r>
        <w:rPr>
          <w:rFonts w:hint="eastAsia"/>
          <w:szCs w:val="21"/>
        </w:rPr>
        <w:t>小时；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</w:rPr>
        <w:t>支持</w:t>
      </w:r>
      <w:r>
        <w:t>CTG</w:t>
      </w:r>
      <w:r>
        <w:rPr>
          <w:rFonts w:hint="eastAsia"/>
        </w:rPr>
        <w:t>预警，针对正弦模式预警、低变异性预警、无变异的心动过速、延迟减速等危机模式及时报警，提醒医生及时发现异常；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</w:rPr>
        <w:t>标配</w:t>
      </w:r>
      <w:r>
        <w:rPr>
          <w:rFonts w:hint="eastAsia"/>
        </w:rPr>
        <w:t>NST</w:t>
      </w:r>
      <w:r>
        <w:rPr>
          <w:rFonts w:hint="eastAsia"/>
        </w:rPr>
        <w:t>三分类和</w:t>
      </w:r>
      <w:r>
        <w:rPr>
          <w:rFonts w:hint="eastAsia"/>
        </w:rPr>
        <w:t>NICHD</w:t>
      </w:r>
      <w:r>
        <w:rPr>
          <w:rFonts w:hint="eastAsia"/>
        </w:rPr>
        <w:t>三分类评估，软件可进行自动三级分类；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hint="eastAsia"/>
        </w:rPr>
        <w:t>＞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英寸高清晰</w:t>
      </w:r>
      <w:r>
        <w:rPr>
          <w:rFonts w:hint="eastAsia"/>
        </w:rPr>
        <w:t>TFT</w:t>
      </w:r>
      <w:r>
        <w:rPr>
          <w:rFonts w:hint="eastAsia"/>
        </w:rPr>
        <w:t>触摸屏设计，</w:t>
      </w:r>
      <w:r>
        <w:rPr>
          <w:szCs w:val="21"/>
        </w:rPr>
        <w:t>1920*1080P</w:t>
      </w:r>
      <w:r>
        <w:rPr>
          <w:rFonts w:hAnsi="宋体" w:hint="eastAsia"/>
          <w:szCs w:val="21"/>
        </w:rPr>
        <w:t>高清分辨率呈现</w:t>
      </w:r>
      <w:r>
        <w:rPr>
          <w:rFonts w:hint="eastAsia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宋体" w:hAnsi="宋体" w:hint="eastAsia"/>
        </w:rPr>
        <w:t xml:space="preserve">1MHz 超声胎心探头，超声波束声强≤4 </w:t>
      </w:r>
      <w:proofErr w:type="spellStart"/>
      <w:r>
        <w:rPr>
          <w:rFonts w:ascii="宋体" w:hAnsi="宋体" w:hint="eastAsia"/>
        </w:rPr>
        <w:t>mW</w:t>
      </w:r>
      <w:proofErr w:type="spellEnd"/>
      <w:r>
        <w:rPr>
          <w:rFonts w:ascii="宋体" w:hAnsi="宋体" w:hint="eastAsia"/>
        </w:rPr>
        <w:t>/cm</w:t>
      </w:r>
      <w:r>
        <w:rPr>
          <w:rFonts w:ascii="宋体" w:hAnsi="宋体" w:hint="eastAsia"/>
          <w:vertAlign w:val="superscript"/>
        </w:rPr>
        <w:t>2</w:t>
      </w:r>
      <w:r>
        <w:rPr>
          <w:rFonts w:ascii="宋体" w:hAnsi="宋体" w:hint="eastAsia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hint="eastAsia"/>
        </w:rPr>
        <w:t>支持全键盘中文孕妇信息输入，支持</w:t>
      </w:r>
      <w:r>
        <w:rPr>
          <w:rFonts w:hint="eastAsia"/>
        </w:rPr>
        <w:t>USB</w:t>
      </w:r>
      <w:r>
        <w:rPr>
          <w:rFonts w:hint="eastAsia"/>
        </w:rPr>
        <w:t>接口，</w:t>
      </w:r>
      <w:r>
        <w:rPr>
          <w:rFonts w:ascii="宋体" w:hAnsi="宋体" w:hint="eastAsia"/>
          <w:kern w:val="0"/>
        </w:rPr>
        <w:t>支持接入扫码枪</w:t>
      </w:r>
      <w:r>
        <w:rPr>
          <w:rFonts w:hint="eastAsia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ascii="宋体" w:hAnsi="宋体" w:hint="eastAsia"/>
          <w:szCs w:val="21"/>
        </w:rPr>
        <w:t>胎心率报警范围可调，当胎心率过缓或过速时自动报警，报警内容中文显示，报警持续时间可调</w:t>
      </w:r>
      <w:r>
        <w:rPr>
          <w:rFonts w:hint="eastAsia"/>
          <w:szCs w:val="21"/>
        </w:rPr>
        <w:t>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  <w:rPr>
          <w:rFonts w:ascii="宋体" w:hAnsi="宋体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ascii="宋体" w:hAnsi="宋体" w:hint="eastAsia"/>
        </w:rPr>
        <w:t>内置</w:t>
      </w:r>
      <w:r>
        <w:rPr>
          <w:rFonts w:hint="eastAsia"/>
        </w:rPr>
        <w:t>四种</w:t>
      </w:r>
      <w:r>
        <w:t>以上</w:t>
      </w:r>
      <w:r>
        <w:rPr>
          <w:rFonts w:hint="eastAsia"/>
        </w:rPr>
        <w:t>胎监报告自动评分</w:t>
      </w:r>
      <w:r>
        <w:rPr>
          <w:rFonts w:hint="eastAsia"/>
        </w:rPr>
        <w:t>/</w:t>
      </w:r>
      <w:r>
        <w:rPr>
          <w:rFonts w:hint="eastAsia"/>
        </w:rPr>
        <w:t>分析方法；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</w:pPr>
      <w:r>
        <w:rPr>
          <w:rFonts w:hint="eastAsia"/>
        </w:rPr>
        <w:t>内置通讯接口，支持多种方式接入中央站组成网络系统，内置</w:t>
      </w:r>
      <w:r>
        <w:rPr>
          <w:rFonts w:hint="eastAsia"/>
        </w:rPr>
        <w:t>485</w:t>
      </w:r>
      <w:r>
        <w:rPr>
          <w:rFonts w:hint="eastAsia"/>
        </w:rPr>
        <w:t>、支持配置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等；</w:t>
      </w:r>
    </w:p>
    <w:p w:rsidR="00C162E8" w:rsidRDefault="00CE1691" w:rsidP="00DB4430">
      <w:pPr>
        <w:numPr>
          <w:ilvl w:val="0"/>
          <w:numId w:val="1"/>
        </w:numPr>
        <w:spacing w:before="156"/>
        <w:ind w:firstLineChars="0"/>
        <w:rPr>
          <w:rFonts w:ascii="宋体" w:hAnsi="宋体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▲</w:t>
      </w:r>
      <w:r>
        <w:rPr>
          <w:rFonts w:ascii="宋体" w:hAnsi="宋体" w:cs="宋体" w:hint="eastAsia"/>
          <w:kern w:val="0"/>
          <w:szCs w:val="21"/>
        </w:rPr>
        <w:t>探头防尘防水等级IP68，探头支持防水透气技术，探头支持水下1</w:t>
      </w:r>
      <w:r>
        <w:rPr>
          <w:rFonts w:ascii="宋体" w:hAnsi="宋体" w:cs="宋体"/>
          <w:kern w:val="0"/>
          <w:szCs w:val="21"/>
        </w:rPr>
        <w:t>.1</w:t>
      </w:r>
      <w:r>
        <w:rPr>
          <w:rFonts w:ascii="宋体" w:hAnsi="宋体" w:cs="宋体" w:hint="eastAsia"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 xml:space="preserve"> 24</w:t>
      </w:r>
      <w:r>
        <w:rPr>
          <w:rFonts w:ascii="宋体" w:hAnsi="宋体" w:cs="宋体" w:hint="eastAsia"/>
          <w:kern w:val="0"/>
          <w:szCs w:val="21"/>
        </w:rPr>
        <w:t>小时</w:t>
      </w:r>
      <w:r>
        <w:rPr>
          <w:rFonts w:ascii="宋体" w:hAnsi="宋体" w:hint="eastAsia"/>
          <w:szCs w:val="21"/>
        </w:rPr>
        <w:t>；</w:t>
      </w:r>
    </w:p>
    <w:p w:rsidR="00C162E8" w:rsidRDefault="00C162E8" w:rsidP="00DB4430">
      <w:pPr>
        <w:pStyle w:val="a9"/>
        <w:tabs>
          <w:tab w:val="left" w:pos="0"/>
        </w:tabs>
        <w:spacing w:before="156" w:line="400" w:lineRule="exact"/>
        <w:ind w:firstLineChars="0" w:firstLine="0"/>
      </w:pPr>
    </w:p>
    <w:p w:rsidR="00C162E8" w:rsidRDefault="00C162E8" w:rsidP="00DB4430">
      <w:pPr>
        <w:pStyle w:val="a9"/>
        <w:tabs>
          <w:tab w:val="left" w:pos="0"/>
        </w:tabs>
        <w:spacing w:before="156" w:line="400" w:lineRule="exact"/>
        <w:ind w:firstLineChars="0" w:firstLine="0"/>
      </w:pPr>
    </w:p>
    <w:p w:rsidR="00C162E8" w:rsidRDefault="00C162E8" w:rsidP="00DB4430">
      <w:pPr>
        <w:pStyle w:val="a9"/>
        <w:tabs>
          <w:tab w:val="left" w:pos="0"/>
        </w:tabs>
        <w:spacing w:before="156" w:line="400" w:lineRule="exact"/>
        <w:ind w:firstLineChars="0" w:firstLine="0"/>
      </w:pPr>
    </w:p>
    <w:p w:rsidR="00C162E8" w:rsidRDefault="00C162E8" w:rsidP="00DB4430">
      <w:pPr>
        <w:pStyle w:val="a9"/>
        <w:tabs>
          <w:tab w:val="left" w:pos="0"/>
        </w:tabs>
        <w:spacing w:before="156" w:line="400" w:lineRule="exact"/>
        <w:ind w:firstLineChars="0" w:firstLine="0"/>
      </w:pPr>
    </w:p>
    <w:sectPr w:rsidR="00C162E8" w:rsidSect="00C16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1C" w:rsidRDefault="000F781C" w:rsidP="00DB4430">
      <w:pPr>
        <w:spacing w:before="120"/>
        <w:ind w:firstLine="420"/>
      </w:pPr>
      <w:r>
        <w:separator/>
      </w:r>
    </w:p>
  </w:endnote>
  <w:endnote w:type="continuationSeparator" w:id="0">
    <w:p w:rsidR="000F781C" w:rsidRDefault="000F781C" w:rsidP="00DB4430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>
    <w:pPr>
      <w:pStyle w:val="a5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>
    <w:pPr>
      <w:pStyle w:val="a5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>
    <w:pPr>
      <w:pStyle w:val="a5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1C" w:rsidRDefault="000F781C" w:rsidP="00DB4430">
      <w:pPr>
        <w:spacing w:before="120"/>
        <w:ind w:firstLine="420"/>
      </w:pPr>
      <w:r>
        <w:separator/>
      </w:r>
    </w:p>
  </w:footnote>
  <w:footnote w:type="continuationSeparator" w:id="0">
    <w:p w:rsidR="000F781C" w:rsidRDefault="000F781C" w:rsidP="00DB4430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>
    <w:pPr>
      <w:pStyle w:val="a6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>
    <w:pPr>
      <w:pStyle w:val="a6"/>
      <w:pBdr>
        <w:bottom w:val="none" w:sz="0" w:space="1" w:color="auto"/>
      </w:pBdr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>
    <w:pPr>
      <w:pStyle w:val="a6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315E"/>
    <w:multiLevelType w:val="multilevel"/>
    <w:tmpl w:val="5AFC315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190"/>
    <w:rsid w:val="0003597B"/>
    <w:rsid w:val="00055E17"/>
    <w:rsid w:val="000613F4"/>
    <w:rsid w:val="000728D9"/>
    <w:rsid w:val="00093EFD"/>
    <w:rsid w:val="00095A2D"/>
    <w:rsid w:val="000A1830"/>
    <w:rsid w:val="000A71D1"/>
    <w:rsid w:val="000B1F54"/>
    <w:rsid w:val="000B27DB"/>
    <w:rsid w:val="000E4C58"/>
    <w:rsid w:val="000F700A"/>
    <w:rsid w:val="000F781C"/>
    <w:rsid w:val="00156181"/>
    <w:rsid w:val="001958D5"/>
    <w:rsid w:val="001C0882"/>
    <w:rsid w:val="001D6FDC"/>
    <w:rsid w:val="001E6D11"/>
    <w:rsid w:val="00200649"/>
    <w:rsid w:val="00203573"/>
    <w:rsid w:val="002045FF"/>
    <w:rsid w:val="002134B3"/>
    <w:rsid w:val="00221C86"/>
    <w:rsid w:val="00221F55"/>
    <w:rsid w:val="00235241"/>
    <w:rsid w:val="00235F32"/>
    <w:rsid w:val="00287E0F"/>
    <w:rsid w:val="002A23D8"/>
    <w:rsid w:val="002C244F"/>
    <w:rsid w:val="002C4C54"/>
    <w:rsid w:val="002C5AF1"/>
    <w:rsid w:val="002D4005"/>
    <w:rsid w:val="002D5A4C"/>
    <w:rsid w:val="002F1B1C"/>
    <w:rsid w:val="003001AE"/>
    <w:rsid w:val="0034445D"/>
    <w:rsid w:val="0034481E"/>
    <w:rsid w:val="0034665D"/>
    <w:rsid w:val="003514AB"/>
    <w:rsid w:val="003646FE"/>
    <w:rsid w:val="00371A03"/>
    <w:rsid w:val="00376A66"/>
    <w:rsid w:val="003B16ED"/>
    <w:rsid w:val="003B1E0B"/>
    <w:rsid w:val="003D29AD"/>
    <w:rsid w:val="003E73EA"/>
    <w:rsid w:val="00411266"/>
    <w:rsid w:val="00416EAE"/>
    <w:rsid w:val="004278BD"/>
    <w:rsid w:val="00430936"/>
    <w:rsid w:val="00436B8D"/>
    <w:rsid w:val="0044437D"/>
    <w:rsid w:val="00455D0A"/>
    <w:rsid w:val="004703E5"/>
    <w:rsid w:val="0047132C"/>
    <w:rsid w:val="004842C8"/>
    <w:rsid w:val="004C789E"/>
    <w:rsid w:val="004D154C"/>
    <w:rsid w:val="004D27F1"/>
    <w:rsid w:val="005114A9"/>
    <w:rsid w:val="00517D7B"/>
    <w:rsid w:val="00520877"/>
    <w:rsid w:val="005359EA"/>
    <w:rsid w:val="00540CEA"/>
    <w:rsid w:val="0054250D"/>
    <w:rsid w:val="00543CCA"/>
    <w:rsid w:val="00563869"/>
    <w:rsid w:val="00586C8E"/>
    <w:rsid w:val="005A0147"/>
    <w:rsid w:val="005A0D2D"/>
    <w:rsid w:val="005B0DE7"/>
    <w:rsid w:val="005C2376"/>
    <w:rsid w:val="005E3145"/>
    <w:rsid w:val="005F1F50"/>
    <w:rsid w:val="0060710B"/>
    <w:rsid w:val="00617F73"/>
    <w:rsid w:val="006259A1"/>
    <w:rsid w:val="00636B78"/>
    <w:rsid w:val="006379F9"/>
    <w:rsid w:val="006403F7"/>
    <w:rsid w:val="00663ECC"/>
    <w:rsid w:val="006A31F3"/>
    <w:rsid w:val="006C5725"/>
    <w:rsid w:val="006F02B6"/>
    <w:rsid w:val="006F1962"/>
    <w:rsid w:val="00713A1C"/>
    <w:rsid w:val="00740F29"/>
    <w:rsid w:val="00796E54"/>
    <w:rsid w:val="007A3DBE"/>
    <w:rsid w:val="007A5CDC"/>
    <w:rsid w:val="007B004F"/>
    <w:rsid w:val="007B1417"/>
    <w:rsid w:val="007B6F1B"/>
    <w:rsid w:val="007C1986"/>
    <w:rsid w:val="007D0199"/>
    <w:rsid w:val="007D15D1"/>
    <w:rsid w:val="007D3B67"/>
    <w:rsid w:val="007D7C08"/>
    <w:rsid w:val="00835125"/>
    <w:rsid w:val="00844073"/>
    <w:rsid w:val="008679AC"/>
    <w:rsid w:val="00892C09"/>
    <w:rsid w:val="008A2F00"/>
    <w:rsid w:val="008A470B"/>
    <w:rsid w:val="008B53AB"/>
    <w:rsid w:val="008B732B"/>
    <w:rsid w:val="009031B8"/>
    <w:rsid w:val="009402FC"/>
    <w:rsid w:val="009612E3"/>
    <w:rsid w:val="00970D4E"/>
    <w:rsid w:val="00974705"/>
    <w:rsid w:val="00981025"/>
    <w:rsid w:val="00982F43"/>
    <w:rsid w:val="00993037"/>
    <w:rsid w:val="00993BEB"/>
    <w:rsid w:val="009B1A7F"/>
    <w:rsid w:val="009F06D8"/>
    <w:rsid w:val="009F0E0A"/>
    <w:rsid w:val="00A23E65"/>
    <w:rsid w:val="00A274C4"/>
    <w:rsid w:val="00A406F1"/>
    <w:rsid w:val="00A4571D"/>
    <w:rsid w:val="00A52E4F"/>
    <w:rsid w:val="00A70B42"/>
    <w:rsid w:val="00A742FF"/>
    <w:rsid w:val="00A8431D"/>
    <w:rsid w:val="00A96C1F"/>
    <w:rsid w:val="00AA6546"/>
    <w:rsid w:val="00AC7790"/>
    <w:rsid w:val="00AD498C"/>
    <w:rsid w:val="00AD67DD"/>
    <w:rsid w:val="00B16F7B"/>
    <w:rsid w:val="00B26AA0"/>
    <w:rsid w:val="00B42506"/>
    <w:rsid w:val="00B46AFE"/>
    <w:rsid w:val="00B50E71"/>
    <w:rsid w:val="00B82A4A"/>
    <w:rsid w:val="00B90408"/>
    <w:rsid w:val="00BA157C"/>
    <w:rsid w:val="00BB72FD"/>
    <w:rsid w:val="00BC33BC"/>
    <w:rsid w:val="00BD3190"/>
    <w:rsid w:val="00BD3B3E"/>
    <w:rsid w:val="00BD5D2F"/>
    <w:rsid w:val="00C12BA9"/>
    <w:rsid w:val="00C162E8"/>
    <w:rsid w:val="00C20170"/>
    <w:rsid w:val="00C35B52"/>
    <w:rsid w:val="00C565B6"/>
    <w:rsid w:val="00CA1963"/>
    <w:rsid w:val="00CA3F57"/>
    <w:rsid w:val="00CB4231"/>
    <w:rsid w:val="00CC063F"/>
    <w:rsid w:val="00CD32AF"/>
    <w:rsid w:val="00CE1691"/>
    <w:rsid w:val="00D13112"/>
    <w:rsid w:val="00D1328D"/>
    <w:rsid w:val="00D3094F"/>
    <w:rsid w:val="00D322DA"/>
    <w:rsid w:val="00D37454"/>
    <w:rsid w:val="00D52812"/>
    <w:rsid w:val="00DA7E89"/>
    <w:rsid w:val="00DB1832"/>
    <w:rsid w:val="00DB4430"/>
    <w:rsid w:val="00DC5296"/>
    <w:rsid w:val="00DE11B0"/>
    <w:rsid w:val="00DE2EDA"/>
    <w:rsid w:val="00E021B7"/>
    <w:rsid w:val="00E22AD5"/>
    <w:rsid w:val="00E6543A"/>
    <w:rsid w:val="00E67304"/>
    <w:rsid w:val="00EA102E"/>
    <w:rsid w:val="00EC0587"/>
    <w:rsid w:val="00ED391E"/>
    <w:rsid w:val="00EF3D64"/>
    <w:rsid w:val="00F00F66"/>
    <w:rsid w:val="00F10976"/>
    <w:rsid w:val="00F34375"/>
    <w:rsid w:val="00F3749E"/>
    <w:rsid w:val="00F51101"/>
    <w:rsid w:val="00F80332"/>
    <w:rsid w:val="00F81785"/>
    <w:rsid w:val="00F850E4"/>
    <w:rsid w:val="00FA6E37"/>
    <w:rsid w:val="00FB135F"/>
    <w:rsid w:val="00FC1084"/>
    <w:rsid w:val="00FC133E"/>
    <w:rsid w:val="00FC55CF"/>
    <w:rsid w:val="00FD4BE4"/>
    <w:rsid w:val="00FE6F48"/>
    <w:rsid w:val="0A03086E"/>
    <w:rsid w:val="108A4EB1"/>
    <w:rsid w:val="147E2FCD"/>
    <w:rsid w:val="29DC3BEF"/>
    <w:rsid w:val="4A1A0C96"/>
    <w:rsid w:val="53DC3268"/>
    <w:rsid w:val="62151574"/>
    <w:rsid w:val="785F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E8"/>
    <w:pPr>
      <w:widowControl w:val="0"/>
      <w:spacing w:beforeLines="5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162E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162E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C16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1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C162E8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C162E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C162E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162E8"/>
    <w:rPr>
      <w:sz w:val="18"/>
      <w:szCs w:val="18"/>
    </w:rPr>
  </w:style>
  <w:style w:type="paragraph" w:customStyle="1" w:styleId="Default">
    <w:name w:val="Default"/>
    <w:qFormat/>
    <w:rsid w:val="00C162E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C162E8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C162E8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162E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162E8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>EDAN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崔斌</dc:creator>
  <cp:lastModifiedBy>陈炜</cp:lastModifiedBy>
  <cp:revision>6</cp:revision>
  <dcterms:created xsi:type="dcterms:W3CDTF">2018-07-17T07:50:00Z</dcterms:created>
  <dcterms:modified xsi:type="dcterms:W3CDTF">2025-09-25T02:51:00Z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B23C03D39E134B72AF804518A3FDB677</vt:lpwstr>
  </property>
  <property fmtid="{D5CDD505-2E9C-101B-9397-08002B2CF9AE}" pid="4" name="KSOTemplateDocerSaveRecord">
    <vt:lpwstr>eyJoZGlkIjoiN2YzNjBkOTgyNWQ1YTMxYzM3MzMwNWFiODNmOWIzYWMiLCJ1c2VySWQiOiI0NzMxNzA0MzEifQ==</vt:lpwstr>
  </property>
</Properties>
</file>