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auto"/>
        <w:jc w:val="both"/>
        <w:rPr>
          <w:rFonts w:ascii="楷体" w:hAnsi="楷体" w:eastAsia="楷体" w:cs="楷体"/>
          <w:sz w:val="24"/>
          <w:shd w:val="clear" w:color="050000" w:fill="auto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pacing w:val="20"/>
          <w:sz w:val="32"/>
          <w:szCs w:val="32"/>
          <w:shd w:val="clear" w:color="050000" w:fill="auto"/>
        </w:rPr>
        <w:t>附件</w:t>
      </w:r>
      <w:r>
        <w:rPr>
          <w:rFonts w:hint="eastAsia" w:ascii="仿宋" w:hAnsi="仿宋" w:eastAsia="仿宋" w:cs="仿宋"/>
          <w:b/>
          <w:spacing w:val="20"/>
          <w:sz w:val="32"/>
          <w:szCs w:val="32"/>
          <w:shd w:val="clear" w:color="050000" w:fill="auto"/>
          <w:lang w:val="en-US" w:eastAsia="zh-CN"/>
        </w:rPr>
        <w:t xml:space="preserve">: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儋州市人民医院新增自主定价医疗服务项目价格表</w:t>
      </w:r>
      <w:r>
        <w:rPr>
          <w:rFonts w:hint="eastAsia" w:ascii="楷体" w:hAnsi="楷体" w:eastAsia="楷体" w:cs="楷体"/>
          <w:sz w:val="24"/>
          <w:shd w:val="clear" w:color="050000" w:fill="auto"/>
          <w:lang w:val="en-US" w:eastAsia="zh-CN"/>
        </w:rPr>
        <w:t xml:space="preserve">                                       </w:t>
      </w:r>
    </w:p>
    <w:tbl>
      <w:tblPr>
        <w:tblStyle w:val="5"/>
        <w:tblW w:w="13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40"/>
        <w:gridCol w:w="1491"/>
        <w:gridCol w:w="4134"/>
        <w:gridCol w:w="705"/>
        <w:gridCol w:w="1020"/>
        <w:gridCol w:w="996"/>
        <w:gridCol w:w="1427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编码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项目内涵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除外内容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计价单位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价格（元）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拟执行时间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exact"/>
        </w:trPr>
        <w:tc>
          <w:tcPr>
            <w:tcW w:w="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hd w:val="clear" w:color="050000" w:fill="auto"/>
              </w:rPr>
              <w:t>HN250700021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Septin9基因甲基化</w:t>
            </w:r>
            <w:r>
              <w:rPr>
                <w:rFonts w:hint="eastAsia" w:ascii="仿宋_GB2312" w:hAnsi="仿宋_GB2312" w:eastAsia="仿宋_GB2312" w:cs="仿宋_GB2312"/>
                <w:sz w:val="18"/>
                <w:lang w:eastAsia="zh-CN"/>
              </w:rPr>
              <w:t>检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测（PCR荧光探针法）</w:t>
            </w:r>
          </w:p>
        </w:tc>
        <w:tc>
          <w:tcPr>
            <w:tcW w:w="4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hd w:val="clear" w:color="050000" w:fill="auto"/>
              </w:rPr>
              <w:t>样本类型：血液。样本采集、签收、预处理，提取模板DNA，进行DNA甲基化处理，与阴、阳性对照同时检测，分析、判断并审核检测结果，录入实验室信息系统或人工登记，发送报告；按规定处理废弃物；接受临床相关咨询。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hd w:val="clear" w:color="050000" w:fill="auto"/>
                <w:lang w:val="en-US" w:eastAsia="zh-Hans"/>
              </w:rPr>
              <w:t>次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hd w:val="clear" w:color="050000" w:fill="auto"/>
                <w:lang w:val="en-US" w:eastAsia="zh-CN"/>
              </w:rPr>
              <w:t>520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2025年3月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exact"/>
        </w:trPr>
        <w:tc>
          <w:tcPr>
            <w:tcW w:w="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  <w:shd w:val="clear" w:color="050000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HN270700005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组织/细胞核酸（DNA/RNA）高通量测序</w:t>
            </w:r>
          </w:p>
        </w:tc>
        <w:tc>
          <w:tcPr>
            <w:tcW w:w="4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甲醛固定组织、石蜡包埋组织、新鲜或冷冻组织，离心收集细胞；组织粉萃机匀浆化，组织裂解，经反复离心及相应化学试剂去除蛋白，回收DNA，检测纯度，合格后制备核酸文库，文库检测合格后，使用高通量测序仪进行检测以及结果判读。含上述技术过程中产生的废液、废物的处理。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2"/>
                <w:shd w:val="clear" w:color="050000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次（2个基因）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2"/>
                <w:shd w:val="clear" w:color="050000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729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2025年3月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exact"/>
        </w:trPr>
        <w:tc>
          <w:tcPr>
            <w:tcW w:w="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CGGP1000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抗神经抗原抗体检测</w:t>
            </w:r>
          </w:p>
        </w:tc>
        <w:tc>
          <w:tcPr>
            <w:tcW w:w="4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样本类型：血液。样本采集、签收、处理，样本与抗原基质片反应，加荧光标记抗体，检测，质控， 审核结果，录入实验室信息系统或人工登记，发送报告；按规定处理废弃物；接受临床相关咨询。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次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482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2025年3月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exact"/>
        </w:trPr>
        <w:tc>
          <w:tcPr>
            <w:tcW w:w="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HN250700024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人类肿瘤多基因变异检测</w:t>
            </w:r>
          </w:p>
        </w:tc>
        <w:tc>
          <w:tcPr>
            <w:tcW w:w="4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本项目收集样本类型包括：肿瘤组织样本、外周血、胸腹水等，通过核酸 提取、文库构建、上机测 序、一键式数据分析，实现肿瘤基因精准检测。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次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2031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2025年3月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exact"/>
        </w:trPr>
        <w:tc>
          <w:tcPr>
            <w:tcW w:w="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HN250308012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异常凝血酶原（PIVKA-II)测定</w:t>
            </w:r>
          </w:p>
        </w:tc>
        <w:tc>
          <w:tcPr>
            <w:tcW w:w="4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次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213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2025年3月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exact"/>
        </w:trPr>
        <w:tc>
          <w:tcPr>
            <w:tcW w:w="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HN270500004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肿瘤免疫治疗PD-L1蛋白伴随检查与诊断</w:t>
            </w:r>
          </w:p>
        </w:tc>
        <w:tc>
          <w:tcPr>
            <w:tcW w:w="4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石蜡包埋组织于切片机切片，按肿瘤免疫伴随诊断要求进行全自动PD-L1免疫组化检测，判读结果。新鲜冷冻组织，细胞涂片，组织印片参照相应方法制片。含处理上述技术过程中所产生的废液、废物的处理。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每块组织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2536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2025年3月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</w:trPr>
        <w:tc>
          <w:tcPr>
            <w:tcW w:w="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BZAA0001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院外会诊用切片复制</w:t>
            </w:r>
          </w:p>
        </w:tc>
        <w:tc>
          <w:tcPr>
            <w:tcW w:w="4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从原石蜡块制作供院外会诊的普通染色(苏木素-伊红(HE)染色)，不染色的切片，涂胶切片或组织膜片(不超过50微米厚)。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34.1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2025年3月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exact"/>
        </w:trPr>
        <w:tc>
          <w:tcPr>
            <w:tcW w:w="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PBEA0105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藏毛窦囊肿切除术</w:t>
            </w:r>
          </w:p>
        </w:tc>
        <w:tc>
          <w:tcPr>
            <w:tcW w:w="4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臀部、肛周消毒铺巾，染色，切开皮肤，剥离囊壁(如粘连可沿染色界线扩大切除)，用负压吸引器吸出剥离出的坏死组织，清洗创面，电刀、氩气刀或超声刀止血，检查创面无渗、出血，另戳口放置引流管，间断全层缝合(也可不放引流，开放创口)，外敷纱布，胶布固定。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次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1336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2025年3月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exact"/>
        </w:trPr>
        <w:tc>
          <w:tcPr>
            <w:tcW w:w="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HN250501043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曲霉菌半乳甘露聚糖抗原检测</w:t>
            </w:r>
          </w:p>
        </w:tc>
        <w:tc>
          <w:tcPr>
            <w:tcW w:w="4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样本类型：各种体液。样本采集，样本签收，标本预处理(适用时)，检测半乳甘露聚糖，人工判读结果。审核结果，录入实验室信息系统或人工登记，发送报告；实验室消毒，按规定处理废弃物；接受临床相关咨询。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次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2025年3月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bidi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GUwNzc0MjkxNmYwZjg1ZjExYjEyY2I3NWFmYTQifQ=="/>
  </w:docVars>
  <w:rsids>
    <w:rsidRoot w:val="00172A27"/>
    <w:rsid w:val="0008460D"/>
    <w:rsid w:val="00085DF5"/>
    <w:rsid w:val="0011285D"/>
    <w:rsid w:val="00184E5E"/>
    <w:rsid w:val="00220C73"/>
    <w:rsid w:val="00240571"/>
    <w:rsid w:val="00265C6B"/>
    <w:rsid w:val="002E187A"/>
    <w:rsid w:val="00330BD2"/>
    <w:rsid w:val="00336347"/>
    <w:rsid w:val="00336A53"/>
    <w:rsid w:val="003412D3"/>
    <w:rsid w:val="00351D0C"/>
    <w:rsid w:val="00372848"/>
    <w:rsid w:val="0041347E"/>
    <w:rsid w:val="0041687A"/>
    <w:rsid w:val="00436BE6"/>
    <w:rsid w:val="00445F7F"/>
    <w:rsid w:val="004965E2"/>
    <w:rsid w:val="004B5FD0"/>
    <w:rsid w:val="004F3951"/>
    <w:rsid w:val="004F5483"/>
    <w:rsid w:val="00540668"/>
    <w:rsid w:val="005771C9"/>
    <w:rsid w:val="005E7C0B"/>
    <w:rsid w:val="00604DF0"/>
    <w:rsid w:val="0061248F"/>
    <w:rsid w:val="006606BB"/>
    <w:rsid w:val="00672973"/>
    <w:rsid w:val="00675648"/>
    <w:rsid w:val="00690710"/>
    <w:rsid w:val="006A1A8D"/>
    <w:rsid w:val="006B4027"/>
    <w:rsid w:val="00743063"/>
    <w:rsid w:val="007D47BC"/>
    <w:rsid w:val="00812E75"/>
    <w:rsid w:val="00860111"/>
    <w:rsid w:val="00867EAC"/>
    <w:rsid w:val="009068E6"/>
    <w:rsid w:val="00993C2D"/>
    <w:rsid w:val="009A5C76"/>
    <w:rsid w:val="00A30528"/>
    <w:rsid w:val="00A42AA9"/>
    <w:rsid w:val="00A511C4"/>
    <w:rsid w:val="00A86B27"/>
    <w:rsid w:val="00A90D26"/>
    <w:rsid w:val="00AC00BA"/>
    <w:rsid w:val="00B81A58"/>
    <w:rsid w:val="00BA5ECA"/>
    <w:rsid w:val="00BC5844"/>
    <w:rsid w:val="00BF0FE6"/>
    <w:rsid w:val="00C37881"/>
    <w:rsid w:val="00CD5C34"/>
    <w:rsid w:val="00D84910"/>
    <w:rsid w:val="00DA4C5F"/>
    <w:rsid w:val="00DD7206"/>
    <w:rsid w:val="00E46221"/>
    <w:rsid w:val="00E9711C"/>
    <w:rsid w:val="00EA593A"/>
    <w:rsid w:val="00EF0ED3"/>
    <w:rsid w:val="00FB3927"/>
    <w:rsid w:val="00FD112C"/>
    <w:rsid w:val="061F6B9E"/>
    <w:rsid w:val="074D464C"/>
    <w:rsid w:val="0B961ED8"/>
    <w:rsid w:val="0C2C3B66"/>
    <w:rsid w:val="0E0705AA"/>
    <w:rsid w:val="290C335D"/>
    <w:rsid w:val="2E2031B0"/>
    <w:rsid w:val="36F654C5"/>
    <w:rsid w:val="3E0B06AE"/>
    <w:rsid w:val="4ED351D9"/>
    <w:rsid w:val="5C6269D3"/>
    <w:rsid w:val="6C741F1B"/>
    <w:rsid w:val="77E025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kern w:val="2"/>
      <w:sz w:val="18"/>
      <w:szCs w:val="18"/>
    </w:rPr>
  </w:style>
  <w:style w:type="character" w:customStyle="1" w:styleId="10">
    <w:name w:val="fontstyle01"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1352</Words>
  <Characters>1563</Characters>
  <Lines>10</Lines>
  <Paragraphs>3</Paragraphs>
  <TotalTime>4</TotalTime>
  <ScaleCrop>false</ScaleCrop>
  <LinksUpToDate>false</LinksUpToDate>
  <CharactersWithSpaces>1654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2023-04-07T03:28:00Z</dcterms:created>
  <dc:creator>未定义</dc:creator>
  <cp:lastModifiedBy>死性不改</cp:lastModifiedBy>
  <cp:lastPrinted>2023-04-07T02:52:00Z</cp:lastPrinted>
  <dcterms:modified xsi:type="dcterms:W3CDTF">2025-03-07T02:32:30Z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AC3517A1098A426C8EB1432564AC2F8F_13</vt:lpwstr>
  </property>
  <property fmtid="{D5CDD505-2E9C-101B-9397-08002B2CF9AE}" pid="4" name="KSOTemplateDocerSaveRecord">
    <vt:lpwstr>eyJoZGlkIjoiZmI4MmYxNmVlZWIzMDM2OGQ3ZjQ1MzQzNWRlMGVlYjkifQ==</vt:lpwstr>
  </property>
</Properties>
</file>